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09" w:rsidRPr="00B439CB" w:rsidRDefault="00FC5A09" w:rsidP="009161DF">
      <w:pPr>
        <w:spacing w:before="480" w:after="240"/>
        <w:jc w:val="left"/>
        <w:outlineLvl w:val="2"/>
        <w:rPr>
          <w:rFonts w:ascii="黑体" w:eastAsia="黑体"/>
          <w:sz w:val="24"/>
          <w:szCs w:val="24"/>
        </w:rPr>
      </w:pPr>
      <w:r w:rsidRPr="00B439CB">
        <w:rPr>
          <w:rFonts w:ascii="黑体" w:eastAsia="黑体" w:cs="黑体" w:hint="eastAsia"/>
          <w:sz w:val="24"/>
          <w:szCs w:val="24"/>
        </w:rPr>
        <w:t>附表</w:t>
      </w:r>
      <w:r w:rsidRPr="00B439CB">
        <w:rPr>
          <w:rFonts w:ascii="黑体" w:eastAsia="黑体" w:cs="黑体"/>
          <w:sz w:val="24"/>
          <w:szCs w:val="24"/>
        </w:rPr>
        <w:t>2-</w:t>
      </w:r>
      <w:r>
        <w:rPr>
          <w:rFonts w:ascii="黑体" w:eastAsia="黑体" w:cs="黑体"/>
          <w:sz w:val="24"/>
          <w:szCs w:val="24"/>
        </w:rPr>
        <w:t>1</w:t>
      </w:r>
    </w:p>
    <w:p w:rsidR="00FC5A09" w:rsidRPr="00FF4A48" w:rsidRDefault="00FC5A09" w:rsidP="00FF4A48">
      <w:pPr>
        <w:spacing w:before="480" w:after="240"/>
        <w:ind w:firstLine="280"/>
        <w:jc w:val="center"/>
        <w:outlineLvl w:val="2"/>
        <w:rPr>
          <w:rFonts w:ascii="黑体" w:eastAsia="黑体"/>
          <w:b/>
          <w:bCs/>
          <w:sz w:val="24"/>
          <w:szCs w:val="24"/>
        </w:rPr>
      </w:pPr>
      <w:r w:rsidRPr="00FF4A48">
        <w:rPr>
          <w:rFonts w:ascii="黑体" w:eastAsia="黑体" w:cs="黑体" w:hint="eastAsia"/>
          <w:b/>
          <w:bCs/>
          <w:sz w:val="24"/>
          <w:szCs w:val="24"/>
        </w:rPr>
        <w:t>资质和业绩</w:t>
      </w:r>
    </w:p>
    <w:p w:rsidR="00FC5A09" w:rsidRPr="00B439CB" w:rsidRDefault="00FC5A09" w:rsidP="006E401C">
      <w:pPr>
        <w:spacing w:afterLines="50" w:line="360" w:lineRule="exact"/>
        <w:ind w:right="420"/>
        <w:rPr>
          <w:rFonts w:ascii="宋体"/>
        </w:rPr>
      </w:pPr>
      <w:r>
        <w:rPr>
          <w:rFonts w:cs="宋体" w:hint="eastAsia"/>
          <w:spacing w:val="-4"/>
          <w:sz w:val="24"/>
          <w:szCs w:val="24"/>
        </w:rPr>
        <w:t>合同</w:t>
      </w:r>
      <w:r>
        <w:rPr>
          <w:rFonts w:cs="宋体" w:hint="eastAsia"/>
          <w:sz w:val="24"/>
          <w:szCs w:val="24"/>
        </w:rPr>
        <w:t>段：</w:t>
      </w:r>
      <w:r w:rsidRPr="00C641B6">
        <w:rPr>
          <w:rFonts w:cs="宋体" w:hint="eastAsia"/>
          <w:spacing w:val="-4"/>
          <w:sz w:val="24"/>
          <w:szCs w:val="24"/>
        </w:rPr>
        <w:t>新羔线临杭经济区至后塘桥段航道养护工程（一期）监理合同段</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8"/>
        <w:gridCol w:w="6498"/>
        <w:gridCol w:w="1321"/>
      </w:tblGrid>
      <w:tr w:rsidR="00FC5A09">
        <w:trPr>
          <w:trHeight w:val="459"/>
          <w:jc w:val="center"/>
        </w:trPr>
        <w:tc>
          <w:tcPr>
            <w:tcW w:w="1378" w:type="dxa"/>
            <w:tcBorders>
              <w:top w:val="single" w:sz="12" w:space="0" w:color="auto"/>
              <w:left w:val="single" w:sz="12" w:space="0" w:color="auto"/>
            </w:tcBorders>
            <w:vAlign w:val="center"/>
          </w:tcPr>
          <w:p w:rsidR="00FC5A09" w:rsidRDefault="00FC5A09" w:rsidP="00DB0A7C">
            <w:pPr>
              <w:spacing w:line="320" w:lineRule="exact"/>
              <w:jc w:val="center"/>
            </w:pPr>
            <w:r>
              <w:rPr>
                <w:rFonts w:cs="宋体" w:hint="eastAsia"/>
              </w:rPr>
              <w:t>项</w:t>
            </w:r>
            <w:r>
              <w:t xml:space="preserve"> </w:t>
            </w:r>
            <w:r>
              <w:rPr>
                <w:rFonts w:cs="宋体" w:hint="eastAsia"/>
              </w:rPr>
              <w:t>目</w:t>
            </w:r>
          </w:p>
        </w:tc>
        <w:tc>
          <w:tcPr>
            <w:tcW w:w="6498" w:type="dxa"/>
            <w:tcBorders>
              <w:top w:val="single" w:sz="12" w:space="0" w:color="auto"/>
            </w:tcBorders>
            <w:vAlign w:val="center"/>
          </w:tcPr>
          <w:p w:rsidR="00FC5A09" w:rsidRDefault="00FC5A09" w:rsidP="00DB0A7C">
            <w:pPr>
              <w:spacing w:line="320" w:lineRule="exact"/>
              <w:jc w:val="center"/>
            </w:pPr>
            <w:r>
              <w:rPr>
                <w:rFonts w:cs="宋体" w:hint="eastAsia"/>
              </w:rPr>
              <w:t>要</w:t>
            </w:r>
            <w:r>
              <w:t xml:space="preserve">    </w:t>
            </w:r>
            <w:r>
              <w:rPr>
                <w:rFonts w:cs="宋体" w:hint="eastAsia"/>
              </w:rPr>
              <w:t>求</w:t>
            </w:r>
          </w:p>
        </w:tc>
        <w:tc>
          <w:tcPr>
            <w:tcW w:w="1321" w:type="dxa"/>
            <w:tcBorders>
              <w:top w:val="single" w:sz="12" w:space="0" w:color="auto"/>
              <w:right w:val="single" w:sz="12" w:space="0" w:color="auto"/>
            </w:tcBorders>
            <w:vAlign w:val="center"/>
          </w:tcPr>
          <w:p w:rsidR="00FC5A09" w:rsidRDefault="00FC5A09" w:rsidP="00DB0A7C">
            <w:pPr>
              <w:spacing w:line="320" w:lineRule="exact"/>
              <w:jc w:val="center"/>
            </w:pPr>
            <w:r>
              <w:rPr>
                <w:rFonts w:cs="宋体" w:hint="eastAsia"/>
              </w:rPr>
              <w:t>备</w:t>
            </w:r>
            <w:r>
              <w:t xml:space="preserve"> </w:t>
            </w:r>
            <w:r>
              <w:rPr>
                <w:rFonts w:cs="宋体" w:hint="eastAsia"/>
              </w:rPr>
              <w:t>注</w:t>
            </w:r>
          </w:p>
        </w:tc>
      </w:tr>
      <w:tr w:rsidR="00FC5A09">
        <w:trPr>
          <w:trHeight w:val="3994"/>
          <w:jc w:val="center"/>
        </w:trPr>
        <w:tc>
          <w:tcPr>
            <w:tcW w:w="1378" w:type="dxa"/>
            <w:tcBorders>
              <w:left w:val="single" w:sz="12" w:space="0" w:color="auto"/>
            </w:tcBorders>
            <w:vAlign w:val="center"/>
          </w:tcPr>
          <w:p w:rsidR="00FC5A09" w:rsidRDefault="00FC5A09" w:rsidP="00DB0A7C">
            <w:pPr>
              <w:spacing w:line="320" w:lineRule="exact"/>
              <w:jc w:val="center"/>
            </w:pPr>
            <w:r>
              <w:rPr>
                <w:rFonts w:cs="宋体" w:hint="eastAsia"/>
              </w:rPr>
              <w:t>资</w:t>
            </w:r>
            <w:r>
              <w:t xml:space="preserve"> </w:t>
            </w:r>
            <w:r>
              <w:rPr>
                <w:rFonts w:cs="宋体" w:hint="eastAsia"/>
              </w:rPr>
              <w:t>质</w:t>
            </w:r>
          </w:p>
        </w:tc>
        <w:tc>
          <w:tcPr>
            <w:tcW w:w="6498" w:type="dxa"/>
            <w:vAlign w:val="center"/>
          </w:tcPr>
          <w:p w:rsidR="00FC5A09" w:rsidRDefault="00FC5A09" w:rsidP="00DB0A7C">
            <w:pPr>
              <w:spacing w:line="440" w:lineRule="exact"/>
            </w:pPr>
          </w:p>
          <w:p w:rsidR="00FC5A09" w:rsidRDefault="00FC5A09" w:rsidP="00DB0A7C">
            <w:pPr>
              <w:spacing w:line="440" w:lineRule="exact"/>
            </w:pPr>
          </w:p>
          <w:p w:rsidR="00FC5A09" w:rsidRDefault="00FC5A09" w:rsidP="00DB0A7C">
            <w:pPr>
              <w:spacing w:line="440" w:lineRule="exact"/>
            </w:pPr>
            <w:r w:rsidRPr="0099198B">
              <w:rPr>
                <w:rFonts w:ascii="宋体" w:hAnsi="宋体" w:cs="宋体" w:hint="eastAsia"/>
              </w:rPr>
              <w:t>投标人具备独立法人资格、交通运输部核发的</w:t>
            </w:r>
            <w:r w:rsidRPr="0078108A">
              <w:rPr>
                <w:rFonts w:ascii="宋体" w:hAnsi="宋体" w:cs="宋体" w:hint="eastAsia"/>
                <w:color w:val="000000"/>
                <w:u w:val="single"/>
              </w:rPr>
              <w:t>水运工程乙级及以上</w:t>
            </w:r>
            <w:r w:rsidRPr="0078108A">
              <w:rPr>
                <w:rFonts w:ascii="宋体" w:hAnsi="宋体" w:cs="宋体" w:hint="eastAsia"/>
                <w:color w:val="000000"/>
              </w:rPr>
              <w:t>监</w:t>
            </w:r>
            <w:r w:rsidRPr="0099198B">
              <w:rPr>
                <w:rFonts w:ascii="宋体" w:hAnsi="宋体" w:cs="宋体" w:hint="eastAsia"/>
              </w:rPr>
              <w:t>理资质。</w:t>
            </w:r>
          </w:p>
          <w:p w:rsidR="00FC5A09" w:rsidRDefault="00FC5A09" w:rsidP="00DB0A7C">
            <w:pPr>
              <w:spacing w:line="440" w:lineRule="exact"/>
            </w:pPr>
          </w:p>
          <w:p w:rsidR="00FC5A09" w:rsidRDefault="00FC5A09" w:rsidP="00DB0A7C">
            <w:pPr>
              <w:spacing w:line="440" w:lineRule="exact"/>
            </w:pPr>
          </w:p>
          <w:p w:rsidR="00FC5A09" w:rsidRDefault="00FC5A09" w:rsidP="00DB0A7C">
            <w:pPr>
              <w:spacing w:line="440" w:lineRule="exact"/>
            </w:pPr>
          </w:p>
        </w:tc>
        <w:tc>
          <w:tcPr>
            <w:tcW w:w="1321" w:type="dxa"/>
            <w:tcBorders>
              <w:right w:val="single" w:sz="12" w:space="0" w:color="auto"/>
            </w:tcBorders>
            <w:vAlign w:val="center"/>
          </w:tcPr>
          <w:p w:rsidR="00FC5A09" w:rsidRDefault="00FC5A09" w:rsidP="00DB0A7C">
            <w:pPr>
              <w:spacing w:line="320" w:lineRule="exact"/>
              <w:jc w:val="center"/>
            </w:pPr>
          </w:p>
        </w:tc>
      </w:tr>
      <w:tr w:rsidR="00FC5A0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4"/>
        </w:trPr>
        <w:tc>
          <w:tcPr>
            <w:tcW w:w="1378" w:type="dxa"/>
          </w:tcPr>
          <w:p w:rsidR="00FC5A09" w:rsidRDefault="00FC5A09" w:rsidP="00DB0A7C">
            <w:pPr>
              <w:spacing w:line="320" w:lineRule="exact"/>
              <w:jc w:val="center"/>
            </w:pPr>
            <w:r>
              <w:rPr>
                <w:rFonts w:cs="宋体" w:hint="eastAsia"/>
              </w:rPr>
              <w:t>业</w:t>
            </w:r>
            <w:r>
              <w:t xml:space="preserve"> </w:t>
            </w:r>
            <w:r>
              <w:rPr>
                <w:rFonts w:cs="宋体" w:hint="eastAsia"/>
              </w:rPr>
              <w:t>绩</w:t>
            </w:r>
          </w:p>
        </w:tc>
        <w:tc>
          <w:tcPr>
            <w:tcW w:w="6498" w:type="dxa"/>
          </w:tcPr>
          <w:p w:rsidR="00FC5A09" w:rsidRDefault="00FC5A09" w:rsidP="00DB0A7C">
            <w:pPr>
              <w:spacing w:line="360" w:lineRule="auto"/>
              <w:jc w:val="center"/>
            </w:pPr>
            <w:r>
              <w:rPr>
                <w:rFonts w:cs="宋体" w:hint="eastAsia"/>
              </w:rPr>
              <w:t>无</w:t>
            </w:r>
          </w:p>
          <w:p w:rsidR="00FC5A09" w:rsidRPr="00381E17" w:rsidDel="00CD32BD" w:rsidRDefault="00FC5A09" w:rsidP="00DB0A7C">
            <w:pPr>
              <w:spacing w:line="440" w:lineRule="exact"/>
            </w:pPr>
          </w:p>
        </w:tc>
        <w:tc>
          <w:tcPr>
            <w:tcW w:w="1321" w:type="dxa"/>
          </w:tcPr>
          <w:p w:rsidR="00FC5A09" w:rsidRDefault="00FC5A09" w:rsidP="00DB0A7C">
            <w:pPr>
              <w:spacing w:line="320" w:lineRule="exact"/>
              <w:jc w:val="center"/>
            </w:pPr>
          </w:p>
        </w:tc>
      </w:tr>
    </w:tbl>
    <w:p w:rsidR="00FC5A09" w:rsidRPr="00D90AA8" w:rsidRDefault="00FC5A09" w:rsidP="00021B14"/>
    <w:p w:rsidR="00FC5A09" w:rsidRDefault="00FC5A09" w:rsidP="00021B14">
      <w:pPr>
        <w:spacing w:before="480" w:after="240"/>
        <w:ind w:firstLine="280"/>
        <w:jc w:val="left"/>
        <w:outlineLvl w:val="2"/>
        <w:rPr>
          <w:rFonts w:ascii="黑体" w:eastAsia="黑体" w:cs="黑体"/>
          <w:sz w:val="24"/>
          <w:szCs w:val="24"/>
        </w:rPr>
      </w:pPr>
      <w:bookmarkStart w:id="0" w:name="_Toc399598627"/>
      <w:r>
        <w:rPr>
          <w:rFonts w:ascii="黑体" w:eastAsia="黑体"/>
          <w:sz w:val="24"/>
          <w:szCs w:val="24"/>
        </w:rPr>
        <w:br w:type="page"/>
      </w:r>
      <w:r w:rsidRPr="00B439CB">
        <w:rPr>
          <w:rFonts w:ascii="黑体" w:eastAsia="黑体" w:cs="黑体" w:hint="eastAsia"/>
          <w:sz w:val="24"/>
          <w:szCs w:val="24"/>
        </w:rPr>
        <w:t>附表</w:t>
      </w:r>
      <w:r w:rsidRPr="00B439CB">
        <w:rPr>
          <w:rFonts w:ascii="黑体" w:eastAsia="黑体" w:cs="黑体"/>
          <w:sz w:val="24"/>
          <w:szCs w:val="24"/>
        </w:rPr>
        <w:t>2-</w:t>
      </w:r>
      <w:bookmarkEnd w:id="0"/>
      <w:r>
        <w:rPr>
          <w:rFonts w:ascii="黑体" w:eastAsia="黑体" w:cs="黑体"/>
          <w:sz w:val="24"/>
          <w:szCs w:val="24"/>
        </w:rPr>
        <w:t>2</w:t>
      </w:r>
    </w:p>
    <w:p w:rsidR="00FC5A09" w:rsidRPr="009161DF" w:rsidRDefault="00FC5A09" w:rsidP="009161DF">
      <w:pPr>
        <w:spacing w:before="480" w:after="240"/>
        <w:ind w:firstLine="280"/>
        <w:jc w:val="center"/>
        <w:outlineLvl w:val="2"/>
        <w:rPr>
          <w:rFonts w:ascii="黑体" w:eastAsia="黑体"/>
          <w:b/>
          <w:bCs/>
          <w:sz w:val="24"/>
          <w:szCs w:val="24"/>
        </w:rPr>
      </w:pPr>
      <w:r>
        <w:rPr>
          <w:rFonts w:ascii="黑体" w:eastAsia="黑体" w:cs="黑体" w:hint="eastAsia"/>
          <w:b/>
          <w:bCs/>
          <w:sz w:val="24"/>
          <w:szCs w:val="24"/>
        </w:rPr>
        <w:t>主要监理人员</w:t>
      </w:r>
    </w:p>
    <w:p w:rsidR="00FC5A09" w:rsidRPr="00DA064D" w:rsidRDefault="00FC5A09" w:rsidP="00D06FEA">
      <w:pPr>
        <w:spacing w:after="120"/>
        <w:ind w:firstLineChars="100" w:firstLine="31680"/>
        <w:rPr>
          <w:sz w:val="24"/>
          <w:szCs w:val="24"/>
        </w:rPr>
      </w:pPr>
      <w:r w:rsidRPr="00DA064D">
        <w:rPr>
          <w:rFonts w:cs="宋体" w:hint="eastAsia"/>
          <w:sz w:val="24"/>
          <w:szCs w:val="24"/>
        </w:rPr>
        <w:t>合同段：</w:t>
      </w:r>
      <w:r w:rsidRPr="00C641B6">
        <w:rPr>
          <w:rFonts w:cs="宋体" w:hint="eastAsia"/>
          <w:spacing w:val="-4"/>
          <w:sz w:val="24"/>
          <w:szCs w:val="24"/>
        </w:rPr>
        <w:t>新羔线临杭经济区至后塘桥段航道养护工程（一期）监理合同段</w:t>
      </w:r>
    </w:p>
    <w:tbl>
      <w:tblPr>
        <w:tblW w:w="9307" w:type="dxa"/>
        <w:tblInd w:w="-1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tblPr>
      <w:tblGrid>
        <w:gridCol w:w="745"/>
        <w:gridCol w:w="1260"/>
        <w:gridCol w:w="5580"/>
        <w:gridCol w:w="862"/>
        <w:gridCol w:w="860"/>
      </w:tblGrid>
      <w:tr w:rsidR="00FC5A09" w:rsidRPr="00DA064D">
        <w:tc>
          <w:tcPr>
            <w:tcW w:w="400" w:type="pct"/>
            <w:tcBorders>
              <w:top w:val="single" w:sz="12" w:space="0" w:color="000000"/>
            </w:tcBorders>
            <w:vAlign w:val="center"/>
          </w:tcPr>
          <w:p w:rsidR="00FC5A09" w:rsidRPr="00DA064D" w:rsidRDefault="00FC5A09" w:rsidP="00DB0A7C">
            <w:pPr>
              <w:spacing w:before="120" w:after="120"/>
              <w:jc w:val="center"/>
            </w:pPr>
            <w:r w:rsidRPr="00DA064D">
              <w:rPr>
                <w:rFonts w:cs="宋体" w:hint="eastAsia"/>
              </w:rPr>
              <w:t>序号</w:t>
            </w:r>
          </w:p>
        </w:tc>
        <w:tc>
          <w:tcPr>
            <w:tcW w:w="677" w:type="pct"/>
            <w:tcBorders>
              <w:top w:val="single" w:sz="12" w:space="0" w:color="000000"/>
            </w:tcBorders>
            <w:vAlign w:val="center"/>
          </w:tcPr>
          <w:p w:rsidR="00FC5A09" w:rsidRPr="00DA064D" w:rsidRDefault="00FC5A09" w:rsidP="00DB0A7C">
            <w:pPr>
              <w:spacing w:before="120" w:after="120"/>
              <w:jc w:val="center"/>
            </w:pPr>
            <w:r w:rsidRPr="00DA064D">
              <w:rPr>
                <w:rFonts w:cs="宋体" w:hint="eastAsia"/>
              </w:rPr>
              <w:t>监理岗位</w:t>
            </w:r>
          </w:p>
        </w:tc>
        <w:tc>
          <w:tcPr>
            <w:tcW w:w="2998" w:type="pct"/>
            <w:tcBorders>
              <w:top w:val="single" w:sz="12" w:space="0" w:color="000000"/>
            </w:tcBorders>
            <w:vAlign w:val="center"/>
          </w:tcPr>
          <w:p w:rsidR="00FC5A09" w:rsidRPr="00DA064D" w:rsidRDefault="00FC5A09" w:rsidP="00DB0A7C">
            <w:pPr>
              <w:spacing w:before="120" w:after="120"/>
              <w:jc w:val="center"/>
            </w:pPr>
            <w:r w:rsidRPr="00DA064D">
              <w:rPr>
                <w:rFonts w:cs="宋体" w:hint="eastAsia"/>
              </w:rPr>
              <w:t>资格资历要求</w:t>
            </w:r>
          </w:p>
        </w:tc>
        <w:tc>
          <w:tcPr>
            <w:tcW w:w="463" w:type="pct"/>
            <w:tcBorders>
              <w:top w:val="single" w:sz="12" w:space="0" w:color="000000"/>
            </w:tcBorders>
            <w:vAlign w:val="center"/>
          </w:tcPr>
          <w:p w:rsidR="00FC5A09" w:rsidRPr="00DA064D" w:rsidRDefault="00FC5A09" w:rsidP="00DB0A7C">
            <w:pPr>
              <w:spacing w:before="120" w:after="120"/>
              <w:jc w:val="center"/>
            </w:pPr>
            <w:r w:rsidRPr="00DA064D">
              <w:rPr>
                <w:rFonts w:cs="宋体" w:hint="eastAsia"/>
              </w:rPr>
              <w:t>数量</w:t>
            </w:r>
          </w:p>
        </w:tc>
        <w:tc>
          <w:tcPr>
            <w:tcW w:w="462" w:type="pct"/>
            <w:tcBorders>
              <w:top w:val="single" w:sz="12" w:space="0" w:color="000000"/>
            </w:tcBorders>
            <w:vAlign w:val="center"/>
          </w:tcPr>
          <w:p w:rsidR="00FC5A09" w:rsidRPr="00DA064D" w:rsidRDefault="00FC5A09" w:rsidP="00DB0A7C">
            <w:pPr>
              <w:spacing w:before="120" w:after="120"/>
              <w:jc w:val="center"/>
            </w:pPr>
            <w:r w:rsidRPr="00DA064D">
              <w:rPr>
                <w:rFonts w:cs="宋体" w:hint="eastAsia"/>
              </w:rPr>
              <w:t>备注</w:t>
            </w:r>
          </w:p>
        </w:tc>
      </w:tr>
      <w:tr w:rsidR="00FC5A09" w:rsidRPr="00DA064D">
        <w:trPr>
          <w:trHeight w:val="1509"/>
        </w:trPr>
        <w:tc>
          <w:tcPr>
            <w:tcW w:w="400" w:type="pct"/>
            <w:vAlign w:val="center"/>
          </w:tcPr>
          <w:p w:rsidR="00FC5A09" w:rsidRPr="00DA064D" w:rsidRDefault="00FC5A09" w:rsidP="00DB0A7C">
            <w:pPr>
              <w:spacing w:line="340" w:lineRule="exact"/>
              <w:jc w:val="center"/>
            </w:pPr>
            <w:r w:rsidRPr="00DA064D">
              <w:t>1</w:t>
            </w:r>
          </w:p>
        </w:tc>
        <w:tc>
          <w:tcPr>
            <w:tcW w:w="677" w:type="pct"/>
            <w:vAlign w:val="center"/>
          </w:tcPr>
          <w:p w:rsidR="00FC5A09" w:rsidRPr="00DA064D" w:rsidRDefault="00FC5A09" w:rsidP="00DB0A7C">
            <w:pPr>
              <w:spacing w:line="340" w:lineRule="exact"/>
              <w:jc w:val="center"/>
            </w:pPr>
            <w:r w:rsidRPr="00DA064D">
              <w:rPr>
                <w:rFonts w:cs="宋体" w:hint="eastAsia"/>
              </w:rPr>
              <w:t>总监理</w:t>
            </w:r>
          </w:p>
          <w:p w:rsidR="00FC5A09" w:rsidRPr="00DA064D" w:rsidRDefault="00FC5A09" w:rsidP="00DB0A7C">
            <w:pPr>
              <w:spacing w:line="340" w:lineRule="exact"/>
              <w:jc w:val="center"/>
            </w:pPr>
            <w:r w:rsidRPr="00DA064D">
              <w:rPr>
                <w:rFonts w:cs="宋体" w:hint="eastAsia"/>
              </w:rPr>
              <w:t>工程师</w:t>
            </w:r>
          </w:p>
        </w:tc>
        <w:tc>
          <w:tcPr>
            <w:tcW w:w="2998" w:type="pct"/>
            <w:vAlign w:val="center"/>
          </w:tcPr>
          <w:p w:rsidR="00FC5A09" w:rsidRPr="00DA064D" w:rsidRDefault="00FC5A09" w:rsidP="00FC5A09">
            <w:pPr>
              <w:spacing w:line="340" w:lineRule="exact"/>
              <w:ind w:firstLineChars="100" w:firstLine="31680"/>
              <w:rPr>
                <w:rFonts w:ascii="宋体"/>
              </w:rPr>
            </w:pPr>
            <w:r w:rsidRPr="00DA064D">
              <w:rPr>
                <w:rFonts w:hAnsi="宋体" w:cs="宋体" w:hint="eastAsia"/>
              </w:rPr>
              <w:t>具有</w:t>
            </w:r>
            <w:r w:rsidRPr="00DA064D">
              <w:rPr>
                <w:rFonts w:hAnsi="宋体" w:cs="宋体" w:hint="eastAsia"/>
                <w:u w:val="single"/>
              </w:rPr>
              <w:t>交通运输部（原交通部）核发的水运工程监理工程师</w:t>
            </w:r>
            <w:r w:rsidRPr="00DA064D">
              <w:rPr>
                <w:rFonts w:cs="宋体" w:hint="eastAsia"/>
              </w:rPr>
              <w:t>监理资格</w:t>
            </w:r>
            <w:r w:rsidRPr="00DA064D">
              <w:rPr>
                <w:rFonts w:hAnsi="宋体" w:cs="宋体" w:hint="eastAsia"/>
              </w:rPr>
              <w:t>，</w:t>
            </w:r>
            <w:r w:rsidRPr="00DA064D">
              <w:rPr>
                <w:rFonts w:cs="宋体" w:hint="eastAsia"/>
              </w:rPr>
              <w:t>具有</w:t>
            </w:r>
            <w:r w:rsidRPr="00DA064D">
              <w:rPr>
                <w:rFonts w:hAnsi="宋体" w:cs="宋体" w:hint="eastAsia"/>
                <w:u w:val="single"/>
              </w:rPr>
              <w:t>工程师及以上</w:t>
            </w:r>
            <w:r w:rsidRPr="00DA064D">
              <w:rPr>
                <w:rFonts w:cs="宋体" w:hint="eastAsia"/>
              </w:rPr>
              <w:t>技术职称</w:t>
            </w:r>
            <w:r w:rsidRPr="00DA064D">
              <w:rPr>
                <w:rFonts w:hAnsi="宋体" w:cs="宋体" w:hint="eastAsia"/>
              </w:rPr>
              <w:t>，具有</w:t>
            </w:r>
            <w:r w:rsidRPr="00DA064D">
              <w:rPr>
                <w:rFonts w:hAnsi="宋体" w:cs="宋体" w:hint="eastAsia"/>
                <w:u w:val="single"/>
              </w:rPr>
              <w:t>水运工程</w:t>
            </w:r>
            <w:r w:rsidRPr="00DA064D">
              <w:rPr>
                <w:rFonts w:ascii="宋体" w:cs="宋体" w:hint="eastAsia"/>
              </w:rPr>
              <w:t>的监</w:t>
            </w:r>
            <w:r w:rsidRPr="00DA064D">
              <w:rPr>
                <w:rFonts w:ascii="宋体" w:hAnsi="宋体" w:cs="宋体" w:hint="eastAsia"/>
              </w:rPr>
              <w:t>理经历</w:t>
            </w:r>
            <w:r w:rsidRPr="00DA064D">
              <w:rPr>
                <w:rFonts w:ascii="宋体" w:hAnsi="宋体" w:cs="宋体"/>
              </w:rPr>
              <w:t>3</w:t>
            </w:r>
            <w:r w:rsidRPr="00DA064D">
              <w:rPr>
                <w:rFonts w:ascii="宋体" w:hAnsi="宋体" w:cs="宋体" w:hint="eastAsia"/>
              </w:rPr>
              <w:t>年及以上，其中</w:t>
            </w:r>
            <w:r w:rsidRPr="00DA064D">
              <w:rPr>
                <w:rFonts w:hAnsi="宋体" w:cs="宋体" w:hint="eastAsia"/>
              </w:rPr>
              <w:t>担任总监或副总监（或驻地或副驻地）职务</w:t>
            </w:r>
            <w:r w:rsidRPr="00DA064D">
              <w:rPr>
                <w:rFonts w:hAnsi="宋体"/>
                <w:u w:val="single"/>
              </w:rPr>
              <w:t>2</w:t>
            </w:r>
            <w:r w:rsidRPr="00DA064D">
              <w:rPr>
                <w:rFonts w:hAnsi="宋体" w:cs="宋体" w:hint="eastAsia"/>
              </w:rPr>
              <w:t>年及以上，</w:t>
            </w:r>
            <w:r w:rsidRPr="00DA064D">
              <w:rPr>
                <w:rFonts w:ascii="宋体" w:hAnsi="宋体" w:cs="宋体" w:hint="eastAsia"/>
              </w:rPr>
              <w:t>年龄</w:t>
            </w:r>
            <w:r w:rsidRPr="00DA064D">
              <w:rPr>
                <w:rFonts w:ascii="宋体" w:hAnsi="宋体" w:cs="宋体"/>
                <w:u w:val="single"/>
              </w:rPr>
              <w:t>60</w:t>
            </w:r>
            <w:r w:rsidRPr="00DA064D">
              <w:rPr>
                <w:rFonts w:ascii="宋体" w:hAnsi="宋体" w:cs="宋体" w:hint="eastAsia"/>
              </w:rPr>
              <w:t>周岁及以下。持有省级及以上交通监理行业协会核发的《交通建设工程安全监理合格证书》、《水运工程环境保护监理合格证书》（</w:t>
            </w:r>
            <w:r w:rsidRPr="00DA064D">
              <w:t>2012</w:t>
            </w:r>
            <w:r w:rsidRPr="00DA064D">
              <w:rPr>
                <w:rFonts w:cs="宋体" w:hint="eastAsia"/>
              </w:rPr>
              <w:t>年</w:t>
            </w:r>
            <w:r w:rsidRPr="00DA064D">
              <w:t>1</w:t>
            </w:r>
            <w:r w:rsidRPr="00DA064D">
              <w:rPr>
                <w:rFonts w:cs="宋体" w:hint="eastAsia"/>
              </w:rPr>
              <w:t>月</w:t>
            </w:r>
            <w:r w:rsidRPr="00DA064D">
              <w:t>1</w:t>
            </w:r>
            <w:r w:rsidRPr="00DA064D">
              <w:rPr>
                <w:rFonts w:cs="宋体" w:hint="eastAsia"/>
              </w:rPr>
              <w:t>日以后的交通运输部核发的监理工程师或专业监理工程师可以不用持有省级及以上交通监理行业协会核发的</w:t>
            </w:r>
            <w:r w:rsidRPr="00DA064D">
              <w:rPr>
                <w:rFonts w:ascii="宋体" w:hAnsi="宋体" w:cs="宋体" w:hint="eastAsia"/>
              </w:rPr>
              <w:t>《交通建设工程安全监理合格证书》、《水运工程环境保护监理合格证书》）。根据交通运输部最新信用评价结果，监理工程师个人累计扣分在</w:t>
            </w:r>
            <w:r w:rsidRPr="00DA064D">
              <w:rPr>
                <w:rFonts w:ascii="宋体" w:hAnsi="宋体" w:cs="宋体"/>
              </w:rPr>
              <w:t>24</w:t>
            </w:r>
            <w:r w:rsidRPr="00DA064D">
              <w:rPr>
                <w:rFonts w:ascii="宋体" w:hAnsi="宋体" w:cs="宋体" w:hint="eastAsia"/>
              </w:rPr>
              <w:t>分（不含）以下。</w:t>
            </w:r>
          </w:p>
        </w:tc>
        <w:tc>
          <w:tcPr>
            <w:tcW w:w="463" w:type="pct"/>
            <w:vAlign w:val="center"/>
          </w:tcPr>
          <w:p w:rsidR="00FC5A09" w:rsidRPr="00DA064D" w:rsidRDefault="00FC5A09" w:rsidP="00DB0A7C">
            <w:pPr>
              <w:jc w:val="center"/>
            </w:pPr>
            <w:r w:rsidRPr="00DA064D">
              <w:t>1</w:t>
            </w:r>
          </w:p>
        </w:tc>
        <w:tc>
          <w:tcPr>
            <w:tcW w:w="462" w:type="pct"/>
            <w:vAlign w:val="center"/>
          </w:tcPr>
          <w:p w:rsidR="00FC5A09" w:rsidRPr="00DA064D" w:rsidRDefault="00FC5A09" w:rsidP="00DB0A7C">
            <w:pPr>
              <w:jc w:val="center"/>
            </w:pPr>
            <w:r w:rsidRPr="00DA064D">
              <w:rPr>
                <w:rFonts w:ascii="宋体" w:hAnsi="宋体" w:cs="宋体" w:hint="eastAsia"/>
              </w:rPr>
              <w:t>自有人员</w:t>
            </w:r>
          </w:p>
        </w:tc>
      </w:tr>
      <w:tr w:rsidR="00FC5A09" w:rsidRPr="00DA064D">
        <w:trPr>
          <w:trHeight w:val="367"/>
        </w:trPr>
        <w:tc>
          <w:tcPr>
            <w:tcW w:w="400" w:type="pct"/>
            <w:tcBorders>
              <w:bottom w:val="single" w:sz="12" w:space="0" w:color="000000"/>
            </w:tcBorders>
            <w:vAlign w:val="center"/>
          </w:tcPr>
          <w:p w:rsidR="00FC5A09" w:rsidRPr="00DA064D" w:rsidRDefault="00FC5A09" w:rsidP="00DB0A7C">
            <w:pPr>
              <w:jc w:val="center"/>
            </w:pPr>
            <w:r w:rsidRPr="00DA064D">
              <w:rPr>
                <w:rFonts w:cs="宋体" w:hint="eastAsia"/>
              </w:rPr>
              <w:t>…</w:t>
            </w:r>
          </w:p>
        </w:tc>
        <w:tc>
          <w:tcPr>
            <w:tcW w:w="677" w:type="pct"/>
            <w:tcBorders>
              <w:bottom w:val="single" w:sz="12" w:space="0" w:color="000000"/>
            </w:tcBorders>
            <w:vAlign w:val="center"/>
          </w:tcPr>
          <w:p w:rsidR="00FC5A09" w:rsidRPr="00DA064D" w:rsidRDefault="00FC5A09" w:rsidP="00DB0A7C">
            <w:pPr>
              <w:jc w:val="center"/>
            </w:pPr>
            <w:r w:rsidRPr="00DA064D">
              <w:rPr>
                <w:rFonts w:cs="宋体" w:hint="eastAsia"/>
              </w:rPr>
              <w:t>……</w:t>
            </w:r>
          </w:p>
        </w:tc>
        <w:tc>
          <w:tcPr>
            <w:tcW w:w="2998" w:type="pct"/>
            <w:tcBorders>
              <w:bottom w:val="single" w:sz="12" w:space="0" w:color="000000"/>
            </w:tcBorders>
            <w:vAlign w:val="center"/>
          </w:tcPr>
          <w:p w:rsidR="00FC5A09" w:rsidRPr="00DA064D" w:rsidRDefault="00FC5A09" w:rsidP="00DB0A7C">
            <w:pPr>
              <w:jc w:val="center"/>
            </w:pPr>
          </w:p>
          <w:p w:rsidR="00FC5A09" w:rsidRPr="00DA064D" w:rsidRDefault="00FC5A09" w:rsidP="00DB0A7C"/>
        </w:tc>
        <w:tc>
          <w:tcPr>
            <w:tcW w:w="463" w:type="pct"/>
            <w:tcBorders>
              <w:bottom w:val="single" w:sz="12" w:space="0" w:color="000000"/>
            </w:tcBorders>
            <w:vAlign w:val="center"/>
          </w:tcPr>
          <w:p w:rsidR="00FC5A09" w:rsidRPr="00DA064D" w:rsidRDefault="00FC5A09" w:rsidP="00DB0A7C">
            <w:pPr>
              <w:jc w:val="center"/>
            </w:pPr>
          </w:p>
        </w:tc>
        <w:tc>
          <w:tcPr>
            <w:tcW w:w="462" w:type="pct"/>
            <w:tcBorders>
              <w:bottom w:val="single" w:sz="12" w:space="0" w:color="000000"/>
            </w:tcBorders>
            <w:vAlign w:val="center"/>
          </w:tcPr>
          <w:p w:rsidR="00FC5A09" w:rsidRPr="00DA064D" w:rsidRDefault="00FC5A09" w:rsidP="00DB0A7C">
            <w:pPr>
              <w:jc w:val="center"/>
            </w:pPr>
          </w:p>
        </w:tc>
      </w:tr>
    </w:tbl>
    <w:p w:rsidR="00FC5A09" w:rsidRPr="00DA064D" w:rsidRDefault="00FC5A09" w:rsidP="00C641B6">
      <w:pPr>
        <w:spacing w:line="240" w:lineRule="exact"/>
        <w:rPr>
          <w:sz w:val="18"/>
          <w:szCs w:val="18"/>
        </w:rPr>
      </w:pPr>
      <w:r w:rsidRPr="00DA064D">
        <w:rPr>
          <w:rFonts w:cs="宋体" w:hint="eastAsia"/>
          <w:sz w:val="18"/>
          <w:szCs w:val="18"/>
        </w:rPr>
        <w:t>注：</w:t>
      </w:r>
      <w:r w:rsidRPr="00DA064D">
        <w:rPr>
          <w:sz w:val="18"/>
          <w:szCs w:val="18"/>
        </w:rPr>
        <w:t>1</w:t>
      </w:r>
      <w:r w:rsidRPr="00DA064D">
        <w:rPr>
          <w:rFonts w:cs="宋体" w:hint="eastAsia"/>
          <w:sz w:val="18"/>
          <w:szCs w:val="18"/>
        </w:rPr>
        <w:t>、投标人应在投标文件中提供主要监理人员身份证、毕业证、职称证书、监理资格证书的彩色打印件（或清晰可辨的复印件），以上信息按规定在浙江省交通运输厅监理市场诚信信息系统上公开，并提供在浙江省交通运输厅监理市场诚信信息系统上查询的结果的打印件，不公开或不一致的，以上信息不予认可。</w:t>
      </w:r>
    </w:p>
    <w:p w:rsidR="00FC5A09" w:rsidRPr="00DA064D" w:rsidRDefault="00FC5A09" w:rsidP="00C641B6">
      <w:pPr>
        <w:spacing w:line="240" w:lineRule="exact"/>
        <w:ind w:firstLine="360"/>
        <w:rPr>
          <w:sz w:val="18"/>
          <w:szCs w:val="18"/>
        </w:rPr>
      </w:pPr>
      <w:r w:rsidRPr="00DA064D">
        <w:rPr>
          <w:sz w:val="18"/>
          <w:szCs w:val="18"/>
        </w:rPr>
        <w:t>2</w:t>
      </w:r>
      <w:r w:rsidRPr="00DA064D">
        <w:rPr>
          <w:rFonts w:cs="宋体" w:hint="eastAsia"/>
          <w:sz w:val="18"/>
          <w:szCs w:val="18"/>
        </w:rPr>
        <w:t>、主要监理人员的监理经历按规定在浙江省交通运输厅监理市场诚信信息系统上公开，并提供在浙江省交通运输厅监理市场诚信信息系统上查询的结果打印件，未提供信息公开的打印件的，其监理经历不予认可，总监理工程师还应提供监理经历证明文件（证明文件为下列材料之一：①监理项目评定书；②执业管理手册；③业主出具的并经行业主管部门或行业质监部门确认的书面材料），未提供监理经历证明文件的，其监理经历不予认可。</w:t>
      </w:r>
    </w:p>
    <w:p w:rsidR="00FC5A09" w:rsidRPr="00DA064D" w:rsidRDefault="00FC5A09" w:rsidP="00D06FEA">
      <w:pPr>
        <w:spacing w:line="240" w:lineRule="exact"/>
        <w:ind w:firstLineChars="200" w:firstLine="31680"/>
        <w:rPr>
          <w:sz w:val="18"/>
          <w:szCs w:val="18"/>
        </w:rPr>
      </w:pPr>
      <w:r w:rsidRPr="00DA064D">
        <w:rPr>
          <w:sz w:val="18"/>
          <w:szCs w:val="18"/>
        </w:rPr>
        <w:t>3</w:t>
      </w:r>
      <w:r w:rsidRPr="00DA064D">
        <w:rPr>
          <w:rFonts w:cs="宋体" w:hint="eastAsia"/>
          <w:sz w:val="18"/>
          <w:szCs w:val="18"/>
        </w:rPr>
        <w:t>、自有人员指在投标人岗位登记的人员。投标人自有人员应提供在交通运输部质监局监理企业信息库或浙江省交通运输厅监理市场诚信信息系统上查询的结果的打印件，未提供以上材料的，其作为投标人自有人员情况不予认可。</w:t>
      </w:r>
    </w:p>
    <w:p w:rsidR="00FC5A09" w:rsidRPr="007D4B5D" w:rsidRDefault="00FC5A09" w:rsidP="00C641B6">
      <w:pPr>
        <w:spacing w:line="240" w:lineRule="exact"/>
        <w:ind w:firstLine="360"/>
        <w:rPr>
          <w:sz w:val="18"/>
          <w:szCs w:val="18"/>
        </w:rPr>
      </w:pPr>
      <w:r w:rsidRPr="00DA064D">
        <w:rPr>
          <w:sz w:val="18"/>
          <w:szCs w:val="18"/>
        </w:rPr>
        <w:t>4</w:t>
      </w:r>
      <w:r w:rsidRPr="00DA064D">
        <w:rPr>
          <w:rFonts w:cs="宋体" w:hint="eastAsia"/>
          <w:sz w:val="18"/>
          <w:szCs w:val="18"/>
        </w:rPr>
        <w:t>、企业法定代表人、企业负责人、技术负责人和在其他在建项目上担任总监理工程师（含在建项目投标时拟任总监理工程师）的，不能在本项目任职。在建项目</w:t>
      </w:r>
      <w:r w:rsidRPr="007D4B5D">
        <w:rPr>
          <w:rFonts w:cs="宋体" w:hint="eastAsia"/>
          <w:sz w:val="18"/>
          <w:szCs w:val="18"/>
        </w:rPr>
        <w:t>的起止时间界定为：监理合同段中标通知书发出之日起至监理合同段所辖施工标段均通过交工验收之日止。</w:t>
      </w:r>
      <w:r>
        <w:rPr>
          <w:rFonts w:cs="宋体" w:hint="eastAsia"/>
          <w:sz w:val="18"/>
          <w:szCs w:val="18"/>
        </w:rPr>
        <w:t>（</w:t>
      </w:r>
      <w:r w:rsidRPr="007D4B5D">
        <w:rPr>
          <w:rFonts w:cs="宋体" w:hint="eastAsia"/>
          <w:sz w:val="18"/>
          <w:szCs w:val="18"/>
        </w:rPr>
        <w:t>企业法定代表人、企业负责人、技术负责人</w:t>
      </w:r>
      <w:r>
        <w:rPr>
          <w:rFonts w:cs="宋体" w:hint="eastAsia"/>
          <w:sz w:val="18"/>
          <w:szCs w:val="18"/>
        </w:rPr>
        <w:t>为企业资质证书中注明的人员）</w:t>
      </w:r>
    </w:p>
    <w:p w:rsidR="00FC5A09" w:rsidRPr="003C35F5" w:rsidRDefault="00FC5A09" w:rsidP="00D06FEA">
      <w:pPr>
        <w:spacing w:line="240" w:lineRule="exact"/>
        <w:ind w:firstLineChars="200" w:firstLine="31680"/>
        <w:rPr>
          <w:sz w:val="18"/>
          <w:szCs w:val="18"/>
        </w:rPr>
      </w:pPr>
      <w:r>
        <w:rPr>
          <w:sz w:val="18"/>
          <w:szCs w:val="18"/>
        </w:rPr>
        <w:t>5</w:t>
      </w:r>
      <w:r w:rsidRPr="003C35F5">
        <w:rPr>
          <w:rFonts w:cs="宋体" w:hint="eastAsia"/>
          <w:sz w:val="18"/>
          <w:szCs w:val="18"/>
        </w:rPr>
        <w:t>、投标人可登陆浙江省交通运输厅监理市场诚信信息系统进行监理企业用户注册，并按浙江省交通运输厅要求报送有关信息。登录网址为：</w:t>
      </w:r>
      <w:r w:rsidRPr="003C35F5">
        <w:rPr>
          <w:sz w:val="18"/>
          <w:szCs w:val="18"/>
        </w:rPr>
        <w:t>http://jlsccx.zjt.gov.cn/</w:t>
      </w:r>
      <w:r w:rsidRPr="003C35F5">
        <w:rPr>
          <w:rFonts w:cs="宋体" w:hint="eastAsia"/>
          <w:sz w:val="18"/>
          <w:szCs w:val="18"/>
        </w:rPr>
        <w:t>。</w:t>
      </w:r>
      <w:r w:rsidRPr="003C35F5">
        <w:rPr>
          <w:sz w:val="18"/>
          <w:szCs w:val="18"/>
        </w:rPr>
        <w:t xml:space="preserve">  </w:t>
      </w:r>
      <w:r w:rsidRPr="003C35F5">
        <w:rPr>
          <w:rFonts w:cs="宋体" w:hint="eastAsia"/>
          <w:sz w:val="18"/>
          <w:szCs w:val="18"/>
        </w:rPr>
        <w:t>联系人：王海玲，电话：</w:t>
      </w:r>
      <w:r w:rsidRPr="003C35F5">
        <w:rPr>
          <w:sz w:val="18"/>
          <w:szCs w:val="18"/>
        </w:rPr>
        <w:t>0571-83789631</w:t>
      </w:r>
      <w:r w:rsidRPr="003C35F5">
        <w:rPr>
          <w:rFonts w:cs="宋体" w:hint="eastAsia"/>
          <w:sz w:val="18"/>
          <w:szCs w:val="18"/>
        </w:rPr>
        <w:t>。</w:t>
      </w:r>
    </w:p>
    <w:p w:rsidR="00FC5A09" w:rsidRDefault="00FC5A09" w:rsidP="00D06FEA">
      <w:pPr>
        <w:spacing w:after="120"/>
        <w:ind w:firstLineChars="100" w:firstLine="31680"/>
        <w:rPr>
          <w:rFonts w:ascii="黑体" w:eastAsia="黑体" w:cs="黑体"/>
          <w:sz w:val="24"/>
          <w:szCs w:val="24"/>
        </w:rPr>
      </w:pPr>
      <w:r>
        <w:rPr>
          <w:rFonts w:hAnsi="宋体"/>
          <w:b/>
          <w:bCs/>
        </w:rPr>
        <w:br w:type="page"/>
      </w:r>
      <w:r w:rsidRPr="00B439CB">
        <w:rPr>
          <w:rFonts w:ascii="黑体" w:eastAsia="黑体" w:cs="黑体" w:hint="eastAsia"/>
          <w:sz w:val="24"/>
          <w:szCs w:val="24"/>
        </w:rPr>
        <w:t>附表</w:t>
      </w:r>
      <w:r w:rsidRPr="00B439CB">
        <w:rPr>
          <w:rFonts w:ascii="黑体" w:eastAsia="黑体" w:cs="黑体"/>
          <w:sz w:val="24"/>
          <w:szCs w:val="24"/>
        </w:rPr>
        <w:t>2-</w:t>
      </w:r>
      <w:r>
        <w:rPr>
          <w:rFonts w:ascii="黑体" w:eastAsia="黑体" w:cs="黑体"/>
          <w:sz w:val="24"/>
          <w:szCs w:val="24"/>
        </w:rPr>
        <w:t>3</w:t>
      </w:r>
    </w:p>
    <w:p w:rsidR="00FC5A09" w:rsidRDefault="00FC5A09" w:rsidP="00D06FEA">
      <w:pPr>
        <w:spacing w:after="120"/>
        <w:ind w:firstLineChars="100" w:firstLine="31680"/>
        <w:jc w:val="center"/>
        <w:rPr>
          <w:rFonts w:hAnsi="宋体"/>
          <w:b/>
          <w:bCs/>
        </w:rPr>
      </w:pPr>
      <w:r>
        <w:rPr>
          <w:rFonts w:hAnsi="宋体" w:cs="宋体" w:hint="eastAsia"/>
          <w:b/>
          <w:bCs/>
        </w:rPr>
        <w:t>履约信誉</w:t>
      </w:r>
    </w:p>
    <w:p w:rsidR="00FC5A09" w:rsidRPr="00EE381E" w:rsidRDefault="00FC5A09" w:rsidP="00D06FEA">
      <w:pPr>
        <w:spacing w:after="120"/>
        <w:ind w:firstLineChars="100" w:firstLine="31680"/>
        <w:rPr>
          <w:sz w:val="24"/>
          <w:szCs w:val="24"/>
        </w:rPr>
      </w:pPr>
      <w:r w:rsidRPr="00DD4483">
        <w:rPr>
          <w:rFonts w:cs="宋体" w:hint="eastAsia"/>
          <w:sz w:val="24"/>
          <w:szCs w:val="24"/>
        </w:rPr>
        <w:t>合同段：</w:t>
      </w:r>
      <w:r w:rsidRPr="00C641B6">
        <w:rPr>
          <w:rFonts w:cs="宋体" w:hint="eastAsia"/>
          <w:spacing w:val="-4"/>
          <w:sz w:val="24"/>
          <w:szCs w:val="24"/>
        </w:rPr>
        <w:t>新羔线临杭经济区至后塘桥段航道养护工程（一期）监理合同段</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8"/>
        <w:gridCol w:w="6346"/>
        <w:gridCol w:w="1390"/>
      </w:tblGrid>
      <w:tr w:rsidR="00FC5A09" w:rsidRPr="00DD4483">
        <w:trPr>
          <w:trHeight w:val="551"/>
          <w:jc w:val="center"/>
        </w:trPr>
        <w:tc>
          <w:tcPr>
            <w:tcW w:w="1398" w:type="dxa"/>
            <w:tcBorders>
              <w:top w:val="single" w:sz="12" w:space="0" w:color="auto"/>
              <w:left w:val="single" w:sz="12" w:space="0" w:color="auto"/>
            </w:tcBorders>
            <w:vAlign w:val="center"/>
          </w:tcPr>
          <w:p w:rsidR="00FC5A09" w:rsidRPr="00DD4483" w:rsidRDefault="00FC5A09" w:rsidP="00DB0A7C">
            <w:pPr>
              <w:spacing w:line="320" w:lineRule="exact"/>
              <w:jc w:val="center"/>
            </w:pPr>
            <w:r w:rsidRPr="00DD4483">
              <w:rPr>
                <w:rFonts w:cs="宋体" w:hint="eastAsia"/>
              </w:rPr>
              <w:t>项</w:t>
            </w:r>
            <w:r w:rsidRPr="00DD4483">
              <w:t xml:space="preserve"> </w:t>
            </w:r>
            <w:r w:rsidRPr="00DD4483">
              <w:rPr>
                <w:rFonts w:cs="宋体" w:hint="eastAsia"/>
              </w:rPr>
              <w:t>目</w:t>
            </w:r>
          </w:p>
        </w:tc>
        <w:tc>
          <w:tcPr>
            <w:tcW w:w="6346" w:type="dxa"/>
            <w:tcBorders>
              <w:top w:val="single" w:sz="12" w:space="0" w:color="auto"/>
            </w:tcBorders>
            <w:vAlign w:val="center"/>
          </w:tcPr>
          <w:p w:rsidR="00FC5A09" w:rsidRPr="00DD4483" w:rsidRDefault="00FC5A09" w:rsidP="00DB0A7C">
            <w:pPr>
              <w:spacing w:line="320" w:lineRule="exact"/>
              <w:jc w:val="center"/>
            </w:pPr>
            <w:r w:rsidRPr="00DD4483">
              <w:rPr>
                <w:rFonts w:cs="宋体" w:hint="eastAsia"/>
              </w:rPr>
              <w:t>要</w:t>
            </w:r>
            <w:r w:rsidRPr="00DD4483">
              <w:t xml:space="preserve">     </w:t>
            </w:r>
            <w:r w:rsidRPr="00DD4483">
              <w:rPr>
                <w:rFonts w:cs="宋体" w:hint="eastAsia"/>
              </w:rPr>
              <w:t>求</w:t>
            </w:r>
          </w:p>
        </w:tc>
        <w:tc>
          <w:tcPr>
            <w:tcW w:w="1390" w:type="dxa"/>
            <w:tcBorders>
              <w:top w:val="single" w:sz="12" w:space="0" w:color="auto"/>
              <w:right w:val="single" w:sz="12" w:space="0" w:color="auto"/>
            </w:tcBorders>
            <w:vAlign w:val="center"/>
          </w:tcPr>
          <w:p w:rsidR="00FC5A09" w:rsidRPr="00DD4483" w:rsidRDefault="00FC5A09" w:rsidP="00DB0A7C">
            <w:pPr>
              <w:spacing w:line="320" w:lineRule="exact"/>
              <w:jc w:val="center"/>
            </w:pPr>
            <w:r w:rsidRPr="00DD4483">
              <w:rPr>
                <w:rFonts w:cs="宋体" w:hint="eastAsia"/>
              </w:rPr>
              <w:t>备注</w:t>
            </w:r>
          </w:p>
        </w:tc>
      </w:tr>
      <w:tr w:rsidR="00FC5A09" w:rsidRPr="00DD4483">
        <w:trPr>
          <w:trHeight w:val="9361"/>
          <w:jc w:val="center"/>
        </w:trPr>
        <w:tc>
          <w:tcPr>
            <w:tcW w:w="1398" w:type="dxa"/>
            <w:tcBorders>
              <w:left w:val="single" w:sz="12" w:space="0" w:color="auto"/>
            </w:tcBorders>
            <w:vAlign w:val="center"/>
          </w:tcPr>
          <w:p w:rsidR="00FC5A09" w:rsidRPr="00DD4483" w:rsidRDefault="00FC5A09" w:rsidP="00DB0A7C">
            <w:pPr>
              <w:spacing w:line="320" w:lineRule="exact"/>
              <w:jc w:val="center"/>
            </w:pPr>
            <w:r w:rsidRPr="00DD4483">
              <w:rPr>
                <w:rFonts w:cs="宋体" w:hint="eastAsia"/>
              </w:rPr>
              <w:t>履约信誉</w:t>
            </w:r>
          </w:p>
        </w:tc>
        <w:tc>
          <w:tcPr>
            <w:tcW w:w="6346" w:type="dxa"/>
            <w:vAlign w:val="center"/>
          </w:tcPr>
          <w:p w:rsidR="00FC5A09" w:rsidRPr="0099198B" w:rsidRDefault="00FC5A09" w:rsidP="00DB0A7C">
            <w:pPr>
              <w:spacing w:line="360" w:lineRule="exact"/>
              <w:jc w:val="left"/>
              <w:rPr>
                <w:rFonts w:ascii="宋体"/>
              </w:rPr>
            </w:pPr>
            <w:r w:rsidRPr="0099198B">
              <w:rPr>
                <w:rFonts w:ascii="宋体" w:hAnsi="宋体" w:cs="宋体"/>
              </w:rPr>
              <w:t>1</w:t>
            </w:r>
            <w:r w:rsidRPr="0099198B">
              <w:rPr>
                <w:rFonts w:ascii="宋体" w:hAnsi="宋体" w:cs="宋体" w:hint="eastAsia"/>
              </w:rPr>
              <w:t>．投标人没有正受到责令停业的行政处罚或正处于财务被接管、冻结、破产的状态。</w:t>
            </w:r>
          </w:p>
          <w:p w:rsidR="00FC5A09" w:rsidRPr="0099198B" w:rsidRDefault="00FC5A09" w:rsidP="00DB0A7C">
            <w:pPr>
              <w:spacing w:line="360" w:lineRule="exact"/>
              <w:jc w:val="left"/>
              <w:rPr>
                <w:rFonts w:ascii="宋体"/>
              </w:rPr>
            </w:pPr>
            <w:r w:rsidRPr="0099198B">
              <w:rPr>
                <w:rFonts w:ascii="宋体" w:hAnsi="宋体" w:cs="宋体"/>
              </w:rPr>
              <w:t>2</w:t>
            </w:r>
            <w:r w:rsidRPr="0099198B">
              <w:rPr>
                <w:rFonts w:ascii="宋体" w:hAnsi="宋体" w:cs="宋体" w:hint="eastAsia"/>
              </w:rPr>
              <w:t>．投标人没有正受到取消投标资格的行政处罚。</w:t>
            </w:r>
          </w:p>
          <w:p w:rsidR="00FC5A09" w:rsidRPr="009161DF" w:rsidRDefault="00FC5A09" w:rsidP="00DB0A7C">
            <w:pPr>
              <w:spacing w:line="360" w:lineRule="exact"/>
              <w:jc w:val="left"/>
              <w:rPr>
                <w:rFonts w:ascii="宋体"/>
                <w:color w:val="000000"/>
              </w:rPr>
            </w:pPr>
            <w:r w:rsidRPr="0099198B">
              <w:rPr>
                <w:rFonts w:ascii="宋体" w:hAnsi="宋体" w:cs="宋体"/>
              </w:rPr>
              <w:t>3</w:t>
            </w:r>
            <w:r w:rsidRPr="0099198B">
              <w:rPr>
                <w:rFonts w:ascii="宋体" w:hAnsi="宋体" w:cs="宋体" w:hint="eastAsia"/>
              </w:rPr>
              <w:t>．</w:t>
            </w:r>
            <w:r>
              <w:rPr>
                <w:rFonts w:ascii="宋体" w:hAnsi="宋体" w:cs="宋体" w:hint="eastAsia"/>
              </w:rPr>
              <w:t>近三年</w:t>
            </w:r>
            <w:r w:rsidRPr="0099198B">
              <w:rPr>
                <w:rFonts w:ascii="宋体" w:hAnsi="宋体" w:cs="宋体" w:hint="eastAsia"/>
              </w:rPr>
              <w:t>以来，在工程项目的投标和建设过程中，投标人及其拟委任的总监理工程师无受贿、行贿行为发生</w:t>
            </w:r>
            <w:r w:rsidRPr="009161DF">
              <w:rPr>
                <w:rFonts w:ascii="宋体" w:hAnsi="宋体" w:cs="宋体" w:hint="eastAsia"/>
                <w:color w:val="000000"/>
              </w:rPr>
              <w:t>（以检察机关出具的行贿受贿犯罪档案查询结果为准）。</w:t>
            </w:r>
          </w:p>
          <w:p w:rsidR="00FC5A09" w:rsidRPr="00DD4483" w:rsidRDefault="00FC5A09" w:rsidP="00DB0A7C">
            <w:pPr>
              <w:spacing w:line="440" w:lineRule="exact"/>
              <w:rPr>
                <w:rFonts w:ascii="宋体"/>
              </w:rPr>
            </w:pPr>
          </w:p>
        </w:tc>
        <w:tc>
          <w:tcPr>
            <w:tcW w:w="1390" w:type="dxa"/>
            <w:tcBorders>
              <w:right w:val="single" w:sz="12" w:space="0" w:color="auto"/>
            </w:tcBorders>
            <w:vAlign w:val="center"/>
          </w:tcPr>
          <w:p w:rsidR="00FC5A09" w:rsidRPr="00DD4483" w:rsidRDefault="00FC5A09" w:rsidP="00DB0A7C">
            <w:pPr>
              <w:spacing w:line="460" w:lineRule="exact"/>
              <w:jc w:val="center"/>
            </w:pPr>
          </w:p>
        </w:tc>
      </w:tr>
    </w:tbl>
    <w:p w:rsidR="00FC5A09" w:rsidRPr="00DD4483" w:rsidRDefault="00FC5A09" w:rsidP="00C641B6">
      <w:pPr>
        <w:spacing w:line="240" w:lineRule="exact"/>
        <w:ind w:firstLine="360"/>
        <w:rPr>
          <w:rFonts w:ascii="黑体" w:eastAsia="黑体"/>
          <w:b/>
          <w:bCs/>
          <w:sz w:val="30"/>
          <w:szCs w:val="30"/>
        </w:rPr>
      </w:pPr>
      <w:r w:rsidRPr="007D4B5D">
        <w:rPr>
          <w:rFonts w:cs="宋体" w:hint="eastAsia"/>
          <w:sz w:val="18"/>
          <w:szCs w:val="18"/>
        </w:rPr>
        <w:t>注：投标人</w:t>
      </w:r>
      <w:r>
        <w:rPr>
          <w:rFonts w:cs="宋体" w:hint="eastAsia"/>
          <w:sz w:val="18"/>
          <w:szCs w:val="18"/>
        </w:rPr>
        <w:t>在投标文件中</w:t>
      </w:r>
      <w:r w:rsidRPr="007D4B5D">
        <w:rPr>
          <w:rFonts w:cs="宋体" w:hint="eastAsia"/>
          <w:sz w:val="18"/>
          <w:szCs w:val="18"/>
        </w:rPr>
        <w:t>无须提供检察机关出具的行贿受贿犯罪档案查询结果证明材料</w:t>
      </w:r>
    </w:p>
    <w:p w:rsidR="00FC5A09" w:rsidRPr="00B439CB" w:rsidRDefault="00FC5A09" w:rsidP="006E401C">
      <w:pPr>
        <w:spacing w:afterLines="50" w:line="360" w:lineRule="exact"/>
        <w:ind w:right="420"/>
        <w:rPr>
          <w:rFonts w:ascii="黑体" w:eastAsia="黑体"/>
          <w:sz w:val="24"/>
          <w:szCs w:val="24"/>
        </w:rPr>
      </w:pPr>
    </w:p>
    <w:p w:rsidR="00FC5A09" w:rsidRPr="00F06513" w:rsidRDefault="00FC5A09" w:rsidP="00BA5682">
      <w:pPr>
        <w:ind w:firstLineChars="200" w:firstLine="31680"/>
        <w:rPr>
          <w:rFonts w:ascii="宋体"/>
        </w:rPr>
      </w:pPr>
    </w:p>
    <w:sectPr w:rsidR="00FC5A09" w:rsidRPr="00F06513" w:rsidSect="009161DF">
      <w:pgSz w:w="11906" w:h="16838"/>
      <w:pgMar w:top="935" w:right="1274" w:bottom="935"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A09" w:rsidRDefault="00FC5A09" w:rsidP="000E68A3">
      <w:r>
        <w:separator/>
      </w:r>
    </w:p>
  </w:endnote>
  <w:endnote w:type="continuationSeparator" w:id="0">
    <w:p w:rsidR="00FC5A09" w:rsidRDefault="00FC5A09" w:rsidP="000E68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A09" w:rsidRDefault="00FC5A09" w:rsidP="000E68A3">
      <w:r>
        <w:separator/>
      </w:r>
    </w:p>
  </w:footnote>
  <w:footnote w:type="continuationSeparator" w:id="0">
    <w:p w:rsidR="00FC5A09" w:rsidRDefault="00FC5A09" w:rsidP="000E68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2"/>
      <w:numFmt w:val="decimal"/>
      <w:suff w:val="nothing"/>
      <w:lvlText w:val="%1、"/>
      <w:lvlJc w:val="left"/>
    </w:lvl>
  </w:abstractNum>
  <w:abstractNum w:abstractNumId="1">
    <w:nsid w:val="0000000F"/>
    <w:multiLevelType w:val="singleLevel"/>
    <w:tmpl w:val="0000000F"/>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68A3"/>
    <w:rsid w:val="00021B14"/>
    <w:rsid w:val="00056E31"/>
    <w:rsid w:val="000877A2"/>
    <w:rsid w:val="000A2A52"/>
    <w:rsid w:val="000E4B5F"/>
    <w:rsid w:val="000E68A3"/>
    <w:rsid w:val="000F5BBB"/>
    <w:rsid w:val="00104E22"/>
    <w:rsid w:val="00122108"/>
    <w:rsid w:val="0012260B"/>
    <w:rsid w:val="0013409E"/>
    <w:rsid w:val="00185431"/>
    <w:rsid w:val="00194528"/>
    <w:rsid w:val="001D236A"/>
    <w:rsid w:val="00214A14"/>
    <w:rsid w:val="00276BCC"/>
    <w:rsid w:val="0028726F"/>
    <w:rsid w:val="003474B4"/>
    <w:rsid w:val="00381E17"/>
    <w:rsid w:val="00396408"/>
    <w:rsid w:val="003A6B03"/>
    <w:rsid w:val="003B4B08"/>
    <w:rsid w:val="003C208E"/>
    <w:rsid w:val="003C35F5"/>
    <w:rsid w:val="003E2E94"/>
    <w:rsid w:val="003E585A"/>
    <w:rsid w:val="00412D96"/>
    <w:rsid w:val="0045101D"/>
    <w:rsid w:val="00455024"/>
    <w:rsid w:val="00480E27"/>
    <w:rsid w:val="004846C6"/>
    <w:rsid w:val="00486F59"/>
    <w:rsid w:val="004B1558"/>
    <w:rsid w:val="004C4FD8"/>
    <w:rsid w:val="00505371"/>
    <w:rsid w:val="005136BC"/>
    <w:rsid w:val="00541264"/>
    <w:rsid w:val="00552A90"/>
    <w:rsid w:val="00576F22"/>
    <w:rsid w:val="00585D6E"/>
    <w:rsid w:val="005910DC"/>
    <w:rsid w:val="005949ED"/>
    <w:rsid w:val="005D23D7"/>
    <w:rsid w:val="005F0D5F"/>
    <w:rsid w:val="006160E6"/>
    <w:rsid w:val="0064582C"/>
    <w:rsid w:val="00653306"/>
    <w:rsid w:val="00656E93"/>
    <w:rsid w:val="00674345"/>
    <w:rsid w:val="006B0DF2"/>
    <w:rsid w:val="006C1E94"/>
    <w:rsid w:val="006C4569"/>
    <w:rsid w:val="006E366F"/>
    <w:rsid w:val="006E401C"/>
    <w:rsid w:val="00701492"/>
    <w:rsid w:val="00703C3D"/>
    <w:rsid w:val="00721AB4"/>
    <w:rsid w:val="00732F7D"/>
    <w:rsid w:val="0078108A"/>
    <w:rsid w:val="00781A3A"/>
    <w:rsid w:val="00796477"/>
    <w:rsid w:val="007A16D4"/>
    <w:rsid w:val="007B1CC4"/>
    <w:rsid w:val="007C1B07"/>
    <w:rsid w:val="007D4B5D"/>
    <w:rsid w:val="007E1867"/>
    <w:rsid w:val="00804B41"/>
    <w:rsid w:val="008261BA"/>
    <w:rsid w:val="00843B32"/>
    <w:rsid w:val="00876926"/>
    <w:rsid w:val="008A3E87"/>
    <w:rsid w:val="008E2189"/>
    <w:rsid w:val="008E2A7E"/>
    <w:rsid w:val="008F5A7B"/>
    <w:rsid w:val="00911632"/>
    <w:rsid w:val="009161DF"/>
    <w:rsid w:val="00925483"/>
    <w:rsid w:val="00930A01"/>
    <w:rsid w:val="00932AF4"/>
    <w:rsid w:val="00943F18"/>
    <w:rsid w:val="0099198B"/>
    <w:rsid w:val="00994129"/>
    <w:rsid w:val="009D1C7B"/>
    <w:rsid w:val="009D37EC"/>
    <w:rsid w:val="009E0C46"/>
    <w:rsid w:val="00A12C26"/>
    <w:rsid w:val="00A13089"/>
    <w:rsid w:val="00A13F11"/>
    <w:rsid w:val="00A43F60"/>
    <w:rsid w:val="00A632CE"/>
    <w:rsid w:val="00A7752D"/>
    <w:rsid w:val="00A91494"/>
    <w:rsid w:val="00AA7020"/>
    <w:rsid w:val="00B33ABE"/>
    <w:rsid w:val="00B439CB"/>
    <w:rsid w:val="00B44FA7"/>
    <w:rsid w:val="00B75DD1"/>
    <w:rsid w:val="00B85E18"/>
    <w:rsid w:val="00BA43AC"/>
    <w:rsid w:val="00BA5682"/>
    <w:rsid w:val="00BB195F"/>
    <w:rsid w:val="00BF00EE"/>
    <w:rsid w:val="00BF6911"/>
    <w:rsid w:val="00C00526"/>
    <w:rsid w:val="00C0083D"/>
    <w:rsid w:val="00C107F0"/>
    <w:rsid w:val="00C11408"/>
    <w:rsid w:val="00C55E84"/>
    <w:rsid w:val="00C641B6"/>
    <w:rsid w:val="00C85723"/>
    <w:rsid w:val="00CC5566"/>
    <w:rsid w:val="00CD32BD"/>
    <w:rsid w:val="00CE0AAE"/>
    <w:rsid w:val="00CE5475"/>
    <w:rsid w:val="00CF7A52"/>
    <w:rsid w:val="00D06FEA"/>
    <w:rsid w:val="00D243B6"/>
    <w:rsid w:val="00D2719F"/>
    <w:rsid w:val="00D46DA1"/>
    <w:rsid w:val="00D76A83"/>
    <w:rsid w:val="00D90AA8"/>
    <w:rsid w:val="00DA064D"/>
    <w:rsid w:val="00DB0A7C"/>
    <w:rsid w:val="00DD272A"/>
    <w:rsid w:val="00DD4483"/>
    <w:rsid w:val="00E50A23"/>
    <w:rsid w:val="00E826BC"/>
    <w:rsid w:val="00E94A70"/>
    <w:rsid w:val="00E958C8"/>
    <w:rsid w:val="00EB2CA8"/>
    <w:rsid w:val="00EB6A8F"/>
    <w:rsid w:val="00ED34EB"/>
    <w:rsid w:val="00ED7C81"/>
    <w:rsid w:val="00EE381E"/>
    <w:rsid w:val="00EE54BE"/>
    <w:rsid w:val="00EF4CAF"/>
    <w:rsid w:val="00F06513"/>
    <w:rsid w:val="00F10A4B"/>
    <w:rsid w:val="00F36A0A"/>
    <w:rsid w:val="00F4410F"/>
    <w:rsid w:val="00F45756"/>
    <w:rsid w:val="00F50AA5"/>
    <w:rsid w:val="00F60AA2"/>
    <w:rsid w:val="00F9684D"/>
    <w:rsid w:val="00FA15DE"/>
    <w:rsid w:val="00FC5A09"/>
    <w:rsid w:val="00FE57AB"/>
    <w:rsid w:val="00FF3CF0"/>
    <w:rsid w:val="00FF4A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8A3"/>
    <w:pPr>
      <w:widowControl w:val="0"/>
      <w:jc w:val="both"/>
    </w:pPr>
    <w:rPr>
      <w:rFonts w:ascii="Times New Roman" w:hAnsi="Times New Roman"/>
      <w:szCs w:val="21"/>
    </w:rPr>
  </w:style>
  <w:style w:type="paragraph" w:styleId="Heading2">
    <w:name w:val="heading 2"/>
    <w:basedOn w:val="Normal"/>
    <w:next w:val="Normal"/>
    <w:link w:val="Heading2Char"/>
    <w:uiPriority w:val="99"/>
    <w:qFormat/>
    <w:rsid w:val="00994129"/>
    <w:pPr>
      <w:keepNext/>
      <w:keepLines/>
      <w:spacing w:before="260" w:after="260" w:line="416" w:lineRule="auto"/>
      <w:outlineLvl w:val="1"/>
    </w:pPr>
    <w:rPr>
      <w:rFonts w:ascii="Cambria" w:hAnsi="Cambria" w:cs="Cambria"/>
      <w:b/>
      <w:bCs/>
      <w:sz w:val="32"/>
      <w:szCs w:val="32"/>
    </w:rPr>
  </w:style>
  <w:style w:type="paragraph" w:styleId="Heading3">
    <w:name w:val="heading 3"/>
    <w:aliases w:val="(C+F3),H3,Heading 3 - old"/>
    <w:basedOn w:val="Normal"/>
    <w:next w:val="Normal"/>
    <w:link w:val="Heading3Char"/>
    <w:uiPriority w:val="99"/>
    <w:qFormat/>
    <w:rsid w:val="000E68A3"/>
    <w:pPr>
      <w:keepNext/>
      <w:keepLines/>
      <w:spacing w:before="260" w:after="260" w:line="413"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94129"/>
    <w:rPr>
      <w:rFonts w:ascii="Cambria" w:eastAsia="宋体" w:hAnsi="Cambria" w:cs="Cambria"/>
      <w:b/>
      <w:bCs/>
      <w:sz w:val="32"/>
      <w:szCs w:val="32"/>
    </w:rPr>
  </w:style>
  <w:style w:type="character" w:customStyle="1" w:styleId="Heading3Char">
    <w:name w:val="Heading 3 Char"/>
    <w:aliases w:val="(C+F3) Char,H3 Char,Heading 3 - old Char"/>
    <w:basedOn w:val="DefaultParagraphFont"/>
    <w:link w:val="Heading3"/>
    <w:uiPriority w:val="99"/>
    <w:locked/>
    <w:rsid w:val="000E68A3"/>
    <w:rPr>
      <w:rFonts w:ascii="Times New Roman" w:eastAsia="宋体" w:hAnsi="Times New Roman" w:cs="Times New Roman"/>
      <w:b/>
      <w:bCs/>
      <w:sz w:val="32"/>
      <w:szCs w:val="32"/>
    </w:rPr>
  </w:style>
  <w:style w:type="paragraph" w:styleId="Header">
    <w:name w:val="header"/>
    <w:basedOn w:val="Normal"/>
    <w:link w:val="HeaderChar"/>
    <w:uiPriority w:val="99"/>
    <w:semiHidden/>
    <w:rsid w:val="000E68A3"/>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0E68A3"/>
    <w:rPr>
      <w:sz w:val="18"/>
      <w:szCs w:val="18"/>
    </w:rPr>
  </w:style>
  <w:style w:type="paragraph" w:styleId="Footer">
    <w:name w:val="footer"/>
    <w:basedOn w:val="Normal"/>
    <w:link w:val="FooterChar"/>
    <w:uiPriority w:val="99"/>
    <w:semiHidden/>
    <w:rsid w:val="000E68A3"/>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0E68A3"/>
    <w:rPr>
      <w:sz w:val="18"/>
      <w:szCs w:val="18"/>
    </w:rPr>
  </w:style>
  <w:style w:type="paragraph" w:styleId="Date">
    <w:name w:val="Date"/>
    <w:basedOn w:val="Normal"/>
    <w:next w:val="Normal"/>
    <w:link w:val="DateChar"/>
    <w:uiPriority w:val="99"/>
    <w:semiHidden/>
    <w:rsid w:val="000E68A3"/>
    <w:pPr>
      <w:ind w:leftChars="2500" w:left="100"/>
    </w:pPr>
  </w:style>
  <w:style w:type="character" w:customStyle="1" w:styleId="DateChar">
    <w:name w:val="Date Char"/>
    <w:basedOn w:val="DefaultParagraphFont"/>
    <w:link w:val="Date"/>
    <w:uiPriority w:val="99"/>
    <w:semiHidden/>
    <w:locked/>
    <w:rsid w:val="000E68A3"/>
    <w:rPr>
      <w:rFonts w:ascii="Times New Roman" w:eastAsia="宋体" w:hAnsi="Times New Roman" w:cs="Times New Roman"/>
      <w:sz w:val="24"/>
      <w:szCs w:val="24"/>
    </w:rPr>
  </w:style>
  <w:style w:type="paragraph" w:customStyle="1" w:styleId="2TimesNewRoman5020">
    <w:name w:val="样式 标题 2 + Times New Roman 四号 非加粗 段前: 5 磅 段后: 0 磅 行距: 固定值 20..."/>
    <w:basedOn w:val="Heading2"/>
    <w:uiPriority w:val="99"/>
    <w:rsid w:val="00994129"/>
    <w:pPr>
      <w:spacing w:before="100" w:after="0" w:line="400" w:lineRule="exact"/>
    </w:pPr>
    <w:rPr>
      <w:rFonts w:ascii="Times New Roman" w:eastAsia="黑体" w:hAnsi="Times New Roman" w:cs="Times New Roman"/>
      <w:b w:val="0"/>
      <w:bCs w:val="0"/>
      <w:sz w:val="28"/>
      <w:szCs w:val="28"/>
    </w:rPr>
  </w:style>
  <w:style w:type="character" w:styleId="Hyperlink">
    <w:name w:val="Hyperlink"/>
    <w:basedOn w:val="DefaultParagraphFont"/>
    <w:uiPriority w:val="99"/>
    <w:rsid w:val="00021B14"/>
    <w:rPr>
      <w:rFonts w:ascii="Arial" w:hAnsi="Arial" w:cs="Arial"/>
      <w:color w:val="auto"/>
      <w:sz w:val="18"/>
      <w:szCs w:val="18"/>
      <w:u w:val="none"/>
    </w:rPr>
  </w:style>
  <w:style w:type="paragraph" w:styleId="BalloonText">
    <w:name w:val="Balloon Text"/>
    <w:basedOn w:val="Normal"/>
    <w:link w:val="BalloonTextChar"/>
    <w:uiPriority w:val="99"/>
    <w:semiHidden/>
    <w:rsid w:val="00A632CE"/>
    <w:rPr>
      <w:sz w:val="18"/>
      <w:szCs w:val="18"/>
    </w:rPr>
  </w:style>
  <w:style w:type="character" w:customStyle="1" w:styleId="BalloonTextChar">
    <w:name w:val="Balloon Text Char"/>
    <w:basedOn w:val="DefaultParagraphFont"/>
    <w:link w:val="BalloonText"/>
    <w:uiPriority w:val="99"/>
    <w:semiHidden/>
    <w:locked/>
    <w:rsid w:val="007A16D4"/>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96</TotalTime>
  <Pages>3</Pages>
  <Words>215</Words>
  <Characters>1231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71</cp:revision>
  <cp:lastPrinted>2016-01-06T01:43:00Z</cp:lastPrinted>
  <dcterms:created xsi:type="dcterms:W3CDTF">2014-09-28T08:41:00Z</dcterms:created>
  <dcterms:modified xsi:type="dcterms:W3CDTF">2016-01-15T00:39:00Z</dcterms:modified>
</cp:coreProperties>
</file>